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04/23/2024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49"/>
        <w:gridCol w:w="925"/>
        <w:gridCol w:w="793"/>
        <w:gridCol w:w="614"/>
        <w:gridCol w:w="347"/>
        <w:gridCol w:w="833"/>
        <w:gridCol w:w="437"/>
        <w:gridCol w:w="1043"/>
        <w:gridCol w:w="1145"/>
        <w:gridCol w:w="988"/>
        <w:gridCol w:w="931"/>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49"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3"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313"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4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88"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49"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3"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4"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83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3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4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88"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1"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M</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A</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121.43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1,300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4,500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1,311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4,464</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379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1,328.8</w:t>
            </w:r>
            <w:r>
              <w:rPr>
                <w:rFonts w:ascii="Times;serif" w:hAnsi="Times;serif"/>
                <w:color w:val="008000"/>
                <w:position w:val="7"/>
                <w:sz w:val="16"/>
                <w:sz w:val="20"/>
                <w:shd w:fill="FFFFFF" w:val="clear"/>
              </w:rPr>
              <w:t>(2)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4,085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3,985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1,336.65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3,885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1,338.64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3,828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1,340.19</w:t>
            </w:r>
            <w:r>
              <w:rPr>
                <w:rFonts w:ascii="Times;serif" w:hAnsi="Times;serif"/>
                <w:color w:val="008000"/>
                <w:position w:val="7"/>
                <w:sz w:val="16"/>
                <w:sz w:val="20"/>
                <w:shd w:fill="FFFFFF" w:val="clear"/>
              </w:rPr>
              <w:t>(3)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3,628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1,342.19</w:t>
            </w:r>
            <w:r>
              <w:rPr>
                <w:rFonts w:ascii="Times;serif" w:hAnsi="Times;serif"/>
                <w:color w:val="008000"/>
                <w:position w:val="7"/>
                <w:sz w:val="16"/>
                <w:sz w:val="20"/>
                <w:shd w:fill="FFFFFF" w:val="clear"/>
              </w:rPr>
              <w:t>(4)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3,428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1,344.36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3,328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1,348.57</w:t>
            </w:r>
            <w:r>
              <w:rPr>
                <w:rFonts w:ascii="Times;serif" w:hAnsi="Times;serif"/>
                <w:color w:val="008000"/>
                <w:position w:val="7"/>
                <w:sz w:val="16"/>
                <w:sz w:val="20"/>
                <w:shd w:fill="FFFFFF" w:val="clear"/>
              </w:rPr>
              <w:t>(5)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1,349.03</w:t>
            </w:r>
            <w:r>
              <w:rPr>
                <w:rFonts w:ascii="Times;serif" w:hAnsi="Times;serif"/>
                <w:color w:val="008000"/>
                <w:position w:val="7"/>
                <w:sz w:val="16"/>
                <w:sz w:val="20"/>
                <w:shd w:fill="FFFFFF" w:val="clear"/>
              </w:rPr>
              <w:t>(6)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1,350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2,219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1,351.27</w:t>
            </w:r>
            <w:r>
              <w:rPr>
                <w:rFonts w:ascii="Times;serif" w:hAnsi="Times;serif"/>
                <w:color w:val="008000"/>
                <w:position w:val="7"/>
                <w:sz w:val="16"/>
                <w:sz w:val="20"/>
                <w:shd w:fill="FFFFFF" w:val="clear"/>
              </w:rPr>
              <w:t>(7)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1,352.07</w:t>
            </w:r>
            <w:r>
              <w:rPr>
                <w:rFonts w:ascii="Times;serif" w:hAnsi="Times;serif"/>
                <w:color w:val="008000"/>
                <w:position w:val="7"/>
                <w:sz w:val="16"/>
                <w:sz w:val="20"/>
                <w:shd w:fill="FFFFFF" w:val="clear"/>
              </w:rPr>
              <w:t>(8)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1,719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1,354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1,619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919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1,357.41</w:t>
            </w:r>
            <w:r>
              <w:rPr>
                <w:rFonts w:ascii="Times;serif" w:hAnsi="Times;serif"/>
                <w:color w:val="008000"/>
                <w:position w:val="7"/>
                <w:sz w:val="16"/>
                <w:sz w:val="20"/>
                <w:shd w:fill="FFFFFF" w:val="clear"/>
              </w:rPr>
              <w:t>(9)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1,360.78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1,369.99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1,370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1,372.76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1,374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1,379.95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04/23/2024</w:t>
            </w:r>
          </w:p>
        </w:tc>
        <w:tc>
          <w:tcPr>
            <w:tcW w:w="79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1,389.86</w:t>
            </w:r>
            <w:r>
              <w:rPr/>
              <w:t xml:space="preserve"> </w:t>
            </w:r>
          </w:p>
        </w:tc>
        <w:tc>
          <w:tcPr>
            <w:tcW w:w="114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w:t>
            </w:r>
          </w:p>
        </w:tc>
        <w:tc>
          <w:tcPr>
            <w:tcW w:w="988"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2419" w:type="dxa"/>
        <w:jc w:val="left"/>
        <w:tblInd w:w="-7" w:type="dxa"/>
        <w:tblLayout w:type="fixed"/>
        <w:tblCellMar>
          <w:top w:w="60" w:type="dxa"/>
          <w:left w:w="60" w:type="dxa"/>
          <w:bottom w:w="60" w:type="dxa"/>
          <w:right w:w="60" w:type="dxa"/>
        </w:tblCellMar>
      </w:tblPr>
      <w:tblGrid>
        <w:gridCol w:w="980"/>
        <w:gridCol w:w="861"/>
        <w:gridCol w:w="891"/>
        <w:gridCol w:w="771"/>
        <w:gridCol w:w="591"/>
        <w:gridCol w:w="300"/>
        <w:gridCol w:w="276"/>
        <w:gridCol w:w="606"/>
        <w:gridCol w:w="906"/>
        <w:gridCol w:w="801"/>
        <w:gridCol w:w="891"/>
        <w:gridCol w:w="1101"/>
        <w:gridCol w:w="801"/>
        <w:gridCol w:w="966"/>
        <w:gridCol w:w="831"/>
        <w:gridCol w:w="846"/>
      </w:tblGrid>
      <w:tr>
        <w:trPr>
          <w:tblHeader w:val="true"/>
        </w:trPr>
        <w:tc>
          <w:tcPr>
            <w:tcW w:w="12419"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980"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8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99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6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980"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27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6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8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11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6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980"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Employee Stock Option (Right to buy)</w:t>
            </w:r>
          </w:p>
        </w:tc>
        <w:tc>
          <w:tcPr>
            <w:tcW w:w="86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121.43</w:t>
            </w:r>
            <w:r>
              <w:rPr/>
              <w:t xml:space="preserve"> </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04/23/2024</w:t>
            </w:r>
          </w:p>
        </w:tc>
        <w:tc>
          <w:tcPr>
            <w:tcW w:w="77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00"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5,000</w:t>
            </w:r>
          </w:p>
        </w:tc>
        <w:tc>
          <w:tcPr>
            <w:tcW w:w="9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(10)</w:t>
            </w:r>
            <w:r>
              <w:rPr/>
              <w:t xml:space="preserve"> </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04/30/2024</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0</w:t>
            </w:r>
            <w:r>
              <w:rPr/>
              <w:t xml:space="preserve"> </w:t>
            </w:r>
          </w:p>
        </w:tc>
        <w:tc>
          <w:tcPr>
            <w:tcW w:w="96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10,000</w:t>
            </w:r>
          </w:p>
        </w:tc>
        <w:tc>
          <w:tcPr>
            <w:tcW w:w="83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D</w:t>
            </w:r>
          </w:p>
        </w:tc>
        <w:tc>
          <w:tcPr>
            <w:tcW w:w="84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98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Class B Common Stock</w:t>
            </w:r>
          </w:p>
        </w:tc>
        <w:tc>
          <w:tcPr>
            <w:tcW w:w="86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8000"/>
                <w:position w:val="7"/>
                <w:sz w:val="16"/>
                <w:sz w:val="20"/>
                <w:shd w:fill="FFFFFF" w:val="clear"/>
              </w:rPr>
            </w:pPr>
            <w:r>
              <w:rPr>
                <w:rFonts w:ascii="Times;serif" w:hAnsi="Times;serif"/>
                <w:color w:val="008000"/>
                <w:position w:val="7"/>
                <w:sz w:val="16"/>
                <w:sz w:val="20"/>
                <w:shd w:fill="FFFFFF" w:val="clear"/>
              </w:rPr>
              <w:t>(11)</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300"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0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(11)</w:t>
            </w:r>
            <w:r>
              <w:rPr/>
              <w:t xml:space="preserve"> </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(11)</w:t>
            </w:r>
            <w:r>
              <w:rPr/>
              <w:t xml:space="preserve"> </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1,961,668</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6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1,961,668</w:t>
            </w:r>
          </w:p>
        </w:tc>
        <w:tc>
          <w:tcPr>
            <w:tcW w:w="83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I</w:t>
            </w:r>
          </w:p>
        </w:tc>
        <w:tc>
          <w:tcPr>
            <w:tcW w:w="84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Times;serif" w:hAnsi="Times;serif"/>
                <w:color w:val="0000FF"/>
                <w:sz w:val="20"/>
                <w:shd w:fill="FFFFFF" w:val="clear"/>
              </w:rPr>
              <w:t>Shares owned by LLC</w:t>
            </w:r>
            <w:r>
              <w:rPr>
                <w:rFonts w:ascii="Times;serif" w:hAnsi="Times;serif"/>
                <w:color w:val="008000"/>
                <w:position w:val="7"/>
                <w:sz w:val="16"/>
                <w:sz w:val="20"/>
                <w:shd w:fill="FFFFFF" w:val="clear"/>
              </w:rPr>
              <w:t>(12)</w:t>
            </w:r>
            <w:r>
              <w:rPr/>
              <w:t xml:space="preserve"> </w:t>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$1,328.80 to $1,328.81,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$1,340.00 to $1,340.38,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4. The reported price is a weighted average price. These shares were sold in multiple transactions at prices ranging from $1,342.00 to $1,342.38,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5. The reported price is a weighted average price. These shares were sold in multiple transactions at prices ranging from $1,348.25 to $1,348.94,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6. The reported price is a weighted average price. These shares were sold in multiple transactions at prices ranging from $1,349.00 to $1,349.13,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7. The reported price is a weighted average price. These shares were sold in multiple transactions at prices ranging from $1,351.26 to $1,351.27,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8. The reported price is a weighted average price. These shares were sold in multiple transactions at prices ranging from $1,352.00 to $1,352.13,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9. The reported price is a weighted average price. These shares were sold in multiple transactions at prices ranging from $1,357.17 to $1,357.69,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10. The option vested in four equal installments on April 30, 2015, 2016, 2017 and 2018. The option is fully vested and exercisable.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11. Shares of Class B Common Stock are convertible immediately upon receipt into shares of Class A Common Stock on a 1-for-1 basis and have no expiration date.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12. Shares that are indicated as being "owned by LLC" are owned directly by Alcantara LLC (the "LLC"), and indirectly by Mr. Saylor as the sole member of the LLC.</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04/24/2024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1507</Words>
  <Characters>8039</Characters>
  <CharactersWithSpaces>9316</CharactersWithSpaces>
  <Paragraphs>315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